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D354EE" w14:textId="46E8859B" w:rsidR="00F65C78" w:rsidRPr="005E3AC9" w:rsidRDefault="008D7235" w:rsidP="005E2F44">
      <w:pPr>
        <w:keepNext/>
        <w:spacing w:after="180"/>
        <w:textAlignment w:val="baseline"/>
        <w:rPr>
          <w:rFonts w:ascii="Helvetica LT Pro" w:hAnsi="Helvetica LT Pro" w:cstheme="minorHAnsi"/>
          <w:b/>
          <w:bCs/>
          <w:color w:val="FFFFFF" w:themeColor="background1"/>
          <w:position w:val="-5"/>
          <w:sz w:val="60"/>
          <w:szCs w:val="9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pPr>
      <w:r w:rsidRPr="005E3AC9">
        <w:rPr>
          <w:rFonts w:ascii="Helvetica LT Pro" w:hAnsi="Helvetica LT Pro" w:cstheme="minorHAnsi"/>
          <w:b/>
          <w:bCs/>
          <w:color w:val="FFFFFF" w:themeColor="background1"/>
          <w:position w:val="-5"/>
          <w:sz w:val="60"/>
          <w:szCs w:val="9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Planning Unit</w:t>
      </w:r>
      <w:r w:rsidR="003508AC" w:rsidRPr="005E3AC9">
        <w:rPr>
          <w:rFonts w:ascii="Helvetica LT Pro" w:hAnsi="Helvetica LT Pro" w:cstheme="minorHAnsi"/>
          <w:b/>
          <w:bCs/>
          <w:color w:val="FFFFFF" w:themeColor="background1"/>
          <w:position w:val="-5"/>
          <w:sz w:val="60"/>
          <w:szCs w:val="9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 xml:space="preserve"> 1: </w:t>
      </w:r>
      <w:r w:rsidR="003508AC" w:rsidRPr="005E3AC9">
        <w:rPr>
          <w:rFonts w:ascii="Helvetica LT Pro" w:hAnsi="Helvetica LT Pro" w:cstheme="minorHAnsi"/>
          <w:b/>
          <w:bCs/>
          <w:color w:val="FFFFFF" w:themeColor="background1"/>
          <w:position w:val="-5"/>
          <w:sz w:val="36"/>
          <w:szCs w:val="3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Short Fiction</w:t>
      </w:r>
    </w:p>
    <w:p w14:paraId="1EAE5A22" w14:textId="77777777" w:rsidR="00F65C78" w:rsidRPr="005E3AC9" w:rsidRDefault="00F65C78">
      <w:pPr>
        <w:rPr>
          <w:color w:val="FFFFFF" w:themeColor="background1"/>
          <w14:ligatures w14:val="standardContextual"/>
          <w14:numForm w14:val="oldStyle"/>
        </w:rPr>
      </w:pPr>
      <w:r w:rsidRPr="005E3AC9">
        <w:rPr>
          <w:rFonts w:ascii="Helvetica LT Pro" w:hAnsi="Helvetica LT Pro" w:cstheme="minorHAnsi"/>
          <w:b/>
          <w:bCs/>
          <w:color w:val="FFFFFF" w:themeColor="background1"/>
          <w:position w:val="-5"/>
          <w:sz w:val="60"/>
          <w:szCs w:val="96"/>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ab/>
      </w:r>
    </w:p>
    <w:tbl>
      <w:tblPr>
        <w:tblStyle w:val="TableGrid"/>
        <w:tblW w:w="9360" w:type="dxa"/>
        <w:tblLook w:val="04A0" w:firstRow="1" w:lastRow="0" w:firstColumn="1" w:lastColumn="0" w:noHBand="0" w:noVBand="1"/>
      </w:tblPr>
      <w:tblGrid>
        <w:gridCol w:w="720"/>
        <w:gridCol w:w="8640"/>
      </w:tblGrid>
      <w:tr w:rsidR="00F65C78" w:rsidRPr="005E3AC9" w14:paraId="3316C6DA" w14:textId="77777777" w:rsidTr="00B670B1">
        <w:tc>
          <w:tcPr>
            <w:tcW w:w="720" w:type="dxa"/>
            <w:tcBorders>
              <w:top w:val="nil"/>
              <w:left w:val="nil"/>
              <w:bottom w:val="nil"/>
              <w:right w:val="nil"/>
            </w:tcBorders>
          </w:tcPr>
          <w:p w14:paraId="605D165B" w14:textId="6E3309AA" w:rsidR="00F65C78" w:rsidRPr="003E0CB9" w:rsidRDefault="00F65C78" w:rsidP="00B670B1">
            <w:pPr>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pPr>
            <w:r w:rsidRPr="003E0CB9">
              <w:rPr>
                <w:rFonts w:ascii="Helvetica LT Pro" w:hAnsi="Helvetica LT Pro" w:cstheme="minorHAnsi"/>
                <w:b/>
                <w:bCs/>
                <w:color w:val="FFFFFF" w:themeColor="background1"/>
                <w:position w:val="-5"/>
                <w:sz w:val="60"/>
                <w:szCs w:val="60"/>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Contextual"/>
                <w14:numForm w14:val="oldStyle"/>
              </w:rPr>
              <w:t>1</w:t>
            </w:r>
          </w:p>
        </w:tc>
        <w:tc>
          <w:tcPr>
            <w:tcW w:w="8640" w:type="dxa"/>
            <w:tcBorders>
              <w:top w:val="single" w:sz="4" w:space="0" w:color="808080" w:themeColor="background1" w:themeShade="80"/>
              <w:left w:val="nil"/>
              <w:bottom w:val="single" w:sz="4" w:space="0" w:color="808080" w:themeColor="background1" w:themeShade="80"/>
              <w:right w:val="nil"/>
            </w:tcBorders>
          </w:tcPr>
          <w:p w14:paraId="6E2F993E" w14:textId="1230DC60" w:rsidR="00F65C78" w:rsidRPr="005E3AC9" w:rsidRDefault="00F65C78" w:rsidP="00B670B1">
            <w:pPr>
              <w:spacing w:after="360"/>
              <w:rPr>
                <w:sz w:val="24"/>
                <w:szCs w:val="24"/>
                <w14:ligatures w14:val="standardContextual"/>
                <w14:numForm w14:val="oldStyle"/>
              </w:rPr>
            </w:pPr>
            <w:r w:rsidRPr="005E3AC9">
              <w:rPr>
                <w:sz w:val="24"/>
                <w:szCs w:val="24"/>
                <w14:ligatures w14:val="standardContextual"/>
                <w14:numForm w14:val="oldStyle"/>
              </w:rPr>
              <w:t>Write down a draft of your course goals—what you want for your students “at the end of the day</w:t>
            </w:r>
            <w:r w:rsidR="005E2F44" w:rsidRPr="005E3AC9">
              <w:rPr>
                <w:sz w:val="24"/>
                <w:szCs w:val="24"/>
                <w14:ligatures w14:val="standardContextual"/>
                <w14:numForm w14:val="oldStyle"/>
              </w:rPr>
              <w:t>,</w:t>
            </w:r>
            <w:r w:rsidRPr="005E3AC9">
              <w:rPr>
                <w:sz w:val="24"/>
                <w:szCs w:val="24"/>
                <w14:ligatures w14:val="standardContextual"/>
                <w14:numForm w14:val="oldStyle"/>
              </w:rPr>
              <w:t>” and ten years from now</w:t>
            </w:r>
            <w:r w:rsidR="005E2F44" w:rsidRPr="005E3AC9">
              <w:rPr>
                <w:sz w:val="24"/>
                <w:szCs w:val="24"/>
                <w14:ligatures w14:val="standardContextual"/>
                <w14:numForm w14:val="oldStyle"/>
              </w:rPr>
              <w:t>.</w:t>
            </w:r>
          </w:p>
        </w:tc>
      </w:tr>
      <w:tr w:rsidR="00F65C78" w:rsidRPr="005E3AC9" w14:paraId="7A0550CD" w14:textId="77777777" w:rsidTr="00B670B1">
        <w:tc>
          <w:tcPr>
            <w:tcW w:w="720" w:type="dxa"/>
            <w:tcBorders>
              <w:top w:val="nil"/>
              <w:left w:val="nil"/>
              <w:bottom w:val="nil"/>
              <w:right w:val="nil"/>
            </w:tcBorders>
          </w:tcPr>
          <w:p w14:paraId="0BD75F42" w14:textId="3706A27D" w:rsidR="00F65C78" w:rsidRPr="003E0CB9" w:rsidRDefault="00F65C78" w:rsidP="00B670B1">
            <w:pPr>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pPr>
            <w:r w:rsidRPr="003E0CB9">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t>2</w:t>
            </w:r>
          </w:p>
        </w:tc>
        <w:tc>
          <w:tcPr>
            <w:tcW w:w="8640" w:type="dxa"/>
            <w:tcBorders>
              <w:top w:val="single" w:sz="4" w:space="0" w:color="808080" w:themeColor="background1" w:themeShade="80"/>
              <w:left w:val="nil"/>
              <w:bottom w:val="single" w:sz="4" w:space="0" w:color="808080" w:themeColor="background1" w:themeShade="80"/>
              <w:right w:val="nil"/>
            </w:tcBorders>
          </w:tcPr>
          <w:p w14:paraId="606E1415" w14:textId="4063F286" w:rsidR="00F65C78" w:rsidRPr="005E3AC9" w:rsidRDefault="00F65C78" w:rsidP="00B670B1">
            <w:pPr>
              <w:spacing w:after="360"/>
              <w:rPr>
                <w:sz w:val="24"/>
                <w:szCs w:val="24"/>
                <w14:ligatures w14:val="standardContextual"/>
                <w14:numForm w14:val="oldStyle"/>
              </w:rPr>
            </w:pPr>
            <w:r w:rsidRPr="005E3AC9">
              <w:rPr>
                <w:sz w:val="24"/>
                <w:szCs w:val="24"/>
                <w14:ligatures w14:val="standardContextual"/>
                <w14:numForm w14:val="oldStyle"/>
              </w:rPr>
              <w:t xml:space="preserve">Review Unit 1 on pages 33-36 in the Course and Exam Description and identify the Enduring Understandings where you want your focus. The </w:t>
            </w:r>
            <w:proofErr w:type="spellStart"/>
            <w:r w:rsidRPr="005E3AC9">
              <w:rPr>
                <w:sz w:val="24"/>
                <w:szCs w:val="24"/>
                <w14:ligatures w14:val="standardContextual"/>
                <w14:numForm w14:val="oldStyle"/>
              </w:rPr>
              <w:t>CED</w:t>
            </w:r>
            <w:proofErr w:type="spellEnd"/>
            <w:r w:rsidRPr="005E3AC9">
              <w:rPr>
                <w:sz w:val="24"/>
                <w:szCs w:val="24"/>
                <w14:ligatures w14:val="standardContextual"/>
                <w14:numForm w14:val="oldStyle"/>
              </w:rPr>
              <w:t xml:space="preserve"> lists five, but you’re free to use any of those or of your own.</w:t>
            </w:r>
          </w:p>
        </w:tc>
      </w:tr>
      <w:tr w:rsidR="00F65C78" w:rsidRPr="005E3AC9" w14:paraId="5BF51109" w14:textId="77777777" w:rsidTr="00B670B1">
        <w:tc>
          <w:tcPr>
            <w:tcW w:w="720" w:type="dxa"/>
            <w:tcBorders>
              <w:top w:val="nil"/>
              <w:left w:val="nil"/>
              <w:bottom w:val="nil"/>
              <w:right w:val="nil"/>
            </w:tcBorders>
          </w:tcPr>
          <w:p w14:paraId="38F9CD3F" w14:textId="14946643" w:rsidR="00F65C78" w:rsidRPr="003E0CB9" w:rsidRDefault="00F65C78" w:rsidP="00B670B1">
            <w:pPr>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pPr>
            <w:r w:rsidRPr="003E0CB9">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t>3</w:t>
            </w:r>
          </w:p>
        </w:tc>
        <w:tc>
          <w:tcPr>
            <w:tcW w:w="8640" w:type="dxa"/>
            <w:tcBorders>
              <w:top w:val="single" w:sz="4" w:space="0" w:color="808080" w:themeColor="background1" w:themeShade="80"/>
              <w:left w:val="nil"/>
              <w:bottom w:val="single" w:sz="4" w:space="0" w:color="808080" w:themeColor="background1" w:themeShade="80"/>
              <w:right w:val="nil"/>
            </w:tcBorders>
          </w:tcPr>
          <w:p w14:paraId="6243BEA1" w14:textId="77777777" w:rsidR="00F65C78" w:rsidRPr="005E3AC9" w:rsidRDefault="00F65C78" w:rsidP="00B670B1">
            <w:pPr>
              <w:spacing w:after="360"/>
              <w:rPr>
                <w:sz w:val="24"/>
                <w:szCs w:val="24"/>
                <w14:ligatures w14:val="standardContextual"/>
                <w14:numForm w14:val="oldStyle"/>
              </w:rPr>
            </w:pPr>
            <w:r w:rsidRPr="005E3AC9">
              <w:rPr>
                <w:sz w:val="24"/>
                <w:szCs w:val="24"/>
                <w14:ligatures w14:val="standardContextual"/>
                <w14:numForm w14:val="oldStyle"/>
              </w:rPr>
              <w:t xml:space="preserve">Identify the skills you want your students develop in this unit. The </w:t>
            </w:r>
            <w:proofErr w:type="spellStart"/>
            <w:r w:rsidRPr="005E3AC9">
              <w:rPr>
                <w:sz w:val="24"/>
                <w:szCs w:val="24"/>
                <w14:ligatures w14:val="standardContextual"/>
                <w14:numForm w14:val="oldStyle"/>
              </w:rPr>
              <w:t>CED</w:t>
            </w:r>
            <w:proofErr w:type="spellEnd"/>
            <w:r w:rsidRPr="005E3AC9">
              <w:rPr>
                <w:sz w:val="24"/>
                <w:szCs w:val="24"/>
                <w14:ligatures w14:val="standardContextual"/>
                <w14:numForm w14:val="oldStyle"/>
              </w:rPr>
              <w:t xml:space="preserve"> lists seven, but, again, use any of those or of your own.</w:t>
            </w:r>
          </w:p>
        </w:tc>
      </w:tr>
      <w:tr w:rsidR="00F65C78" w:rsidRPr="005E3AC9" w14:paraId="1EEDBA76" w14:textId="77777777" w:rsidTr="00B670B1">
        <w:tc>
          <w:tcPr>
            <w:tcW w:w="720" w:type="dxa"/>
            <w:tcBorders>
              <w:top w:val="nil"/>
              <w:left w:val="nil"/>
              <w:bottom w:val="nil"/>
              <w:right w:val="nil"/>
            </w:tcBorders>
          </w:tcPr>
          <w:p w14:paraId="639B6B59" w14:textId="1C23CB72" w:rsidR="00F65C78" w:rsidRPr="003E0CB9" w:rsidRDefault="00F65C78" w:rsidP="00B670B1">
            <w:pPr>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pPr>
            <w:r w:rsidRPr="003E0CB9">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t>4</w:t>
            </w:r>
          </w:p>
        </w:tc>
        <w:tc>
          <w:tcPr>
            <w:tcW w:w="8640" w:type="dxa"/>
            <w:tcBorders>
              <w:top w:val="single" w:sz="4" w:space="0" w:color="808080" w:themeColor="background1" w:themeShade="80"/>
              <w:left w:val="nil"/>
              <w:bottom w:val="single" w:sz="4" w:space="0" w:color="808080" w:themeColor="background1" w:themeShade="80"/>
              <w:right w:val="nil"/>
            </w:tcBorders>
          </w:tcPr>
          <w:p w14:paraId="5C721072" w14:textId="77777777" w:rsidR="00F65C78" w:rsidRPr="005E3AC9" w:rsidRDefault="00F65C78" w:rsidP="00B670B1">
            <w:pPr>
              <w:spacing w:after="360"/>
              <w:rPr>
                <w:sz w:val="24"/>
                <w:szCs w:val="24"/>
                <w14:ligatures w14:val="standardContextual"/>
                <w14:numForm w14:val="oldStyle"/>
              </w:rPr>
            </w:pPr>
            <w:r w:rsidRPr="005E3AC9">
              <w:rPr>
                <w:sz w:val="24"/>
                <w:szCs w:val="24"/>
                <w14:ligatures w14:val="standardContextual"/>
                <w14:numForm w14:val="oldStyle"/>
              </w:rPr>
              <w:t xml:space="preserve">Look at the Essential Knowledge the students need to develop for each of the skills you’ve identified. The </w:t>
            </w:r>
            <w:proofErr w:type="spellStart"/>
            <w:r w:rsidRPr="005E3AC9">
              <w:rPr>
                <w:sz w:val="24"/>
                <w:szCs w:val="24"/>
                <w14:ligatures w14:val="standardContextual"/>
                <w14:numForm w14:val="oldStyle"/>
              </w:rPr>
              <w:t>CED</w:t>
            </w:r>
            <w:proofErr w:type="spellEnd"/>
            <w:r w:rsidRPr="005E3AC9">
              <w:rPr>
                <w:sz w:val="24"/>
                <w:szCs w:val="24"/>
                <w14:ligatures w14:val="standardContextual"/>
                <w14:numForm w14:val="oldStyle"/>
              </w:rPr>
              <w:t xml:space="preserve"> lists 20, and, once more, select any of those or of your own.</w:t>
            </w:r>
          </w:p>
        </w:tc>
      </w:tr>
      <w:tr w:rsidR="00F65C78" w:rsidRPr="005E3AC9" w14:paraId="09BBB2E5" w14:textId="77777777" w:rsidTr="00B670B1">
        <w:tc>
          <w:tcPr>
            <w:tcW w:w="720" w:type="dxa"/>
            <w:tcBorders>
              <w:top w:val="nil"/>
              <w:left w:val="nil"/>
              <w:bottom w:val="nil"/>
              <w:right w:val="nil"/>
            </w:tcBorders>
          </w:tcPr>
          <w:p w14:paraId="2116FA90" w14:textId="2440833F" w:rsidR="00F65C78" w:rsidRPr="003E0CB9" w:rsidRDefault="00F65C78" w:rsidP="00B670B1">
            <w:pPr>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pPr>
            <w:r w:rsidRPr="003E0CB9">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t>5</w:t>
            </w:r>
          </w:p>
        </w:tc>
        <w:tc>
          <w:tcPr>
            <w:tcW w:w="8640" w:type="dxa"/>
            <w:tcBorders>
              <w:top w:val="single" w:sz="4" w:space="0" w:color="808080" w:themeColor="background1" w:themeShade="80"/>
              <w:left w:val="nil"/>
              <w:bottom w:val="single" w:sz="4" w:space="0" w:color="808080" w:themeColor="background1" w:themeShade="80"/>
              <w:right w:val="nil"/>
            </w:tcBorders>
          </w:tcPr>
          <w:p w14:paraId="09973AE9" w14:textId="555BD49F" w:rsidR="00F65C78" w:rsidRPr="005E3AC9" w:rsidRDefault="00F65C78" w:rsidP="00B670B1">
            <w:pPr>
              <w:spacing w:after="360"/>
              <w:rPr>
                <w:sz w:val="24"/>
                <w:szCs w:val="24"/>
                <w14:ligatures w14:val="standardContextual"/>
                <w14:numForm w14:val="oldStyle"/>
              </w:rPr>
            </w:pPr>
            <w:r w:rsidRPr="005E3AC9">
              <w:rPr>
                <w:sz w:val="24"/>
                <w:szCs w:val="24"/>
                <w14:ligatures w14:val="standardContextual"/>
                <w14:numForm w14:val="oldStyle"/>
              </w:rPr>
              <w:t xml:space="preserve">Now that you know what you want to teach, consider a variety of tools. Fort </w:t>
            </w:r>
            <w:r w:rsidR="00652FCE" w:rsidRPr="005E3AC9">
              <w:rPr>
                <w:sz w:val="24"/>
                <w:szCs w:val="24"/>
                <w14:ligatures w14:val="standardContextual"/>
                <w14:numForm w14:val="oldStyle"/>
              </w:rPr>
              <w:t>t</w:t>
            </w:r>
            <w:r w:rsidRPr="005E3AC9">
              <w:rPr>
                <w:sz w:val="24"/>
                <w:szCs w:val="24"/>
                <w14:ligatures w14:val="standardContextual"/>
                <w14:numForm w14:val="oldStyle"/>
              </w:rPr>
              <w:t xml:space="preserve">his unit, the tools are short fiction—short stories and short </w:t>
            </w:r>
            <w:proofErr w:type="spellStart"/>
            <w:r w:rsidRPr="005E3AC9">
              <w:rPr>
                <w:sz w:val="24"/>
                <w:szCs w:val="24"/>
                <w14:ligatures w14:val="standardContextual"/>
                <w14:numForm w14:val="oldStyle"/>
              </w:rPr>
              <w:t>short</w:t>
            </w:r>
            <w:proofErr w:type="spellEnd"/>
            <w:r w:rsidRPr="005E3AC9">
              <w:rPr>
                <w:sz w:val="24"/>
                <w:szCs w:val="24"/>
                <w14:ligatures w14:val="standardContextual"/>
                <w14:numForm w14:val="oldStyle"/>
              </w:rPr>
              <w:t xml:space="preserve"> stories. You will want to use each story to work on several skills.</w:t>
            </w:r>
          </w:p>
        </w:tc>
      </w:tr>
      <w:tr w:rsidR="00F65C78" w:rsidRPr="005E3AC9" w14:paraId="40047BB6" w14:textId="77777777" w:rsidTr="00B670B1">
        <w:tc>
          <w:tcPr>
            <w:tcW w:w="720" w:type="dxa"/>
            <w:tcBorders>
              <w:top w:val="nil"/>
              <w:left w:val="nil"/>
              <w:bottom w:val="nil"/>
              <w:right w:val="nil"/>
            </w:tcBorders>
          </w:tcPr>
          <w:p w14:paraId="00CAC227" w14:textId="59F7CF84" w:rsidR="00F65C78" w:rsidRPr="003E0CB9" w:rsidRDefault="00F65C78" w:rsidP="00B670B1">
            <w:pPr>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pPr>
            <w:r w:rsidRPr="003E0CB9">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t>6</w:t>
            </w:r>
          </w:p>
        </w:tc>
        <w:tc>
          <w:tcPr>
            <w:tcW w:w="8640" w:type="dxa"/>
            <w:tcBorders>
              <w:top w:val="single" w:sz="4" w:space="0" w:color="808080" w:themeColor="background1" w:themeShade="80"/>
              <w:left w:val="nil"/>
              <w:bottom w:val="single" w:sz="4" w:space="0" w:color="808080" w:themeColor="background1" w:themeShade="80"/>
              <w:right w:val="nil"/>
            </w:tcBorders>
          </w:tcPr>
          <w:p w14:paraId="7D87062A" w14:textId="77777777" w:rsidR="00F65C78" w:rsidRPr="005E3AC9" w:rsidRDefault="00F65C78" w:rsidP="00B670B1">
            <w:pPr>
              <w:spacing w:after="360"/>
              <w:rPr>
                <w:sz w:val="24"/>
                <w:szCs w:val="24"/>
                <w14:ligatures w14:val="standardContextual"/>
                <w14:numForm w14:val="oldStyle"/>
              </w:rPr>
            </w:pPr>
            <w:r w:rsidRPr="005E3AC9">
              <w:rPr>
                <w:sz w:val="24"/>
                <w:szCs w:val="24"/>
                <w14:ligatures w14:val="standardContextual"/>
                <w14:numForm w14:val="oldStyle"/>
              </w:rPr>
              <w:t xml:space="preserve">Now plan out the unit. Use the Instructional Planning Page on page 37 of the </w:t>
            </w:r>
            <w:proofErr w:type="spellStart"/>
            <w:r w:rsidRPr="005E3AC9">
              <w:rPr>
                <w:sz w:val="24"/>
                <w:szCs w:val="24"/>
                <w14:ligatures w14:val="standardContextual"/>
                <w14:numForm w14:val="oldStyle"/>
              </w:rPr>
              <w:t>CED</w:t>
            </w:r>
            <w:proofErr w:type="spellEnd"/>
            <w:r w:rsidRPr="005E3AC9">
              <w:rPr>
                <w:sz w:val="24"/>
                <w:szCs w:val="24"/>
                <w14:ligatures w14:val="standardContextual"/>
                <w14:numForm w14:val="oldStyle"/>
              </w:rPr>
              <w:t xml:space="preserve"> or a form of your own. Link each piece of Essential Knowledge to the respective skills you want students to carry away from the unit and each skill to one of the works you’ve chosen.</w:t>
            </w:r>
          </w:p>
        </w:tc>
      </w:tr>
      <w:tr w:rsidR="00F65C78" w:rsidRPr="005E3AC9" w14:paraId="60FD4E0A" w14:textId="77777777" w:rsidTr="00B670B1">
        <w:tc>
          <w:tcPr>
            <w:tcW w:w="720" w:type="dxa"/>
            <w:tcBorders>
              <w:top w:val="nil"/>
              <w:left w:val="nil"/>
              <w:bottom w:val="nil"/>
              <w:right w:val="nil"/>
            </w:tcBorders>
          </w:tcPr>
          <w:p w14:paraId="070ABD47" w14:textId="12E0EDAC" w:rsidR="00F65C78" w:rsidRPr="003E0CB9" w:rsidRDefault="00F65C78" w:rsidP="00B670B1">
            <w:pPr>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pPr>
            <w:r w:rsidRPr="003E0CB9">
              <w:rPr>
                <w:rFonts w:ascii="Helvetica LT Pro" w:hAnsi="Helvetica LT Pro"/>
                <w:b/>
                <w:bCs/>
                <w:color w:val="FFFFFF" w:themeColor="background1"/>
                <w:sz w:val="60"/>
                <w:szCs w:val="60"/>
                <w14:shadow w14:blurRad="50800" w14:dist="38100" w14:dir="2700000" w14:sx="100000" w14:sy="100000" w14:kx="0" w14:ky="0" w14:algn="tl">
                  <w14:srgbClr w14:val="000000">
                    <w14:alpha w14:val="60000"/>
                  </w14:srgbClr>
                </w14:shadow>
                <w14:props3d w14:extrusionH="57150" w14:contourW="0" w14:prstMaterial="none">
                  <w14:bevelT w14:w="38100" w14:h="38100" w14:prst="circle"/>
                </w14:props3d>
                <w14:ligatures w14:val="standardContextual"/>
                <w14:numForm w14:val="oldStyle"/>
              </w:rPr>
              <w:t>7</w:t>
            </w:r>
          </w:p>
        </w:tc>
        <w:tc>
          <w:tcPr>
            <w:tcW w:w="8640" w:type="dxa"/>
            <w:tcBorders>
              <w:top w:val="single" w:sz="4" w:space="0" w:color="808080" w:themeColor="background1" w:themeShade="80"/>
              <w:left w:val="nil"/>
              <w:bottom w:val="nil"/>
              <w:right w:val="nil"/>
            </w:tcBorders>
          </w:tcPr>
          <w:p w14:paraId="420BFD32" w14:textId="10DCD32F" w:rsidR="00F65C78" w:rsidRPr="005E3AC9" w:rsidRDefault="00F65C78" w:rsidP="00B670B1">
            <w:pPr>
              <w:spacing w:after="360"/>
              <w:rPr>
                <w:sz w:val="24"/>
                <w:szCs w:val="24"/>
                <w14:ligatures w14:val="standardContextual"/>
                <w14:numForm w14:val="oldStyle"/>
              </w:rPr>
            </w:pPr>
            <w:r w:rsidRPr="005E3AC9">
              <w:rPr>
                <w:sz w:val="24"/>
                <w:szCs w:val="24"/>
                <w14:ligatures w14:val="standardContextual"/>
                <w14:numForm w14:val="oldStyle"/>
              </w:rPr>
              <w:t xml:space="preserve">Finally, select the instructional activities to use to teach the skills. The </w:t>
            </w:r>
            <w:proofErr w:type="spellStart"/>
            <w:r w:rsidRPr="005E3AC9">
              <w:rPr>
                <w:sz w:val="24"/>
                <w:szCs w:val="24"/>
                <w14:ligatures w14:val="standardContextual"/>
                <w14:numForm w14:val="oldStyle"/>
              </w:rPr>
              <w:t>CED</w:t>
            </w:r>
            <w:proofErr w:type="spellEnd"/>
            <w:r w:rsidRPr="005E3AC9">
              <w:rPr>
                <w:sz w:val="24"/>
                <w:szCs w:val="24"/>
                <w14:ligatures w14:val="standardContextual"/>
                <w14:numForm w14:val="oldStyle"/>
              </w:rPr>
              <w:t xml:space="preserve"> has four suggestions on page 38, and the handout has a longer list. The best source for ideas is probably the store of lessons that have served you well before. Colleagues are a great source; some of our best ideas have come from elementary school teachers. The AP</w:t>
            </w:r>
            <w:r w:rsidR="00DC6A56" w:rsidRPr="005E3AC9">
              <w:rPr>
                <w:sz w:val="24"/>
                <w:szCs w:val="24"/>
                <w14:ligatures w14:val="standardContextual"/>
                <w14:numForm w14:val="oldStyle"/>
              </w:rPr>
              <w:t> </w:t>
            </w:r>
            <w:r w:rsidRPr="005E3AC9">
              <w:rPr>
                <w:sz w:val="24"/>
                <w:szCs w:val="24"/>
                <w14:ligatures w14:val="standardContextual"/>
                <w14:numForm w14:val="oldStyle"/>
              </w:rPr>
              <w:t xml:space="preserve">Community’s </w:t>
            </w:r>
            <w:r w:rsidR="00D16ED6" w:rsidRPr="005E3AC9">
              <w:rPr>
                <w:sz w:val="24"/>
                <w:szCs w:val="24"/>
                <w14:ligatures w14:val="standardContextual"/>
                <w14:numForm w14:val="oldStyle"/>
              </w:rPr>
              <w:t>Resource</w:t>
            </w:r>
            <w:r w:rsidRPr="005E3AC9">
              <w:rPr>
                <w:sz w:val="24"/>
                <w:szCs w:val="24"/>
                <w14:ligatures w14:val="standardContextual"/>
                <w14:numForm w14:val="oldStyle"/>
              </w:rPr>
              <w:t xml:space="preserve"> tab has more, and members of the Community are generous</w:t>
            </w:r>
            <w:r w:rsidR="00DC6A56" w:rsidRPr="005E3AC9">
              <w:rPr>
                <w:sz w:val="24"/>
                <w:szCs w:val="24"/>
                <w14:ligatures w14:val="standardContextual"/>
                <w14:numForm w14:val="oldStyle"/>
              </w:rPr>
              <w:t xml:space="preserve"> in Discussions</w:t>
            </w:r>
            <w:r w:rsidRPr="005E3AC9">
              <w:rPr>
                <w:sz w:val="24"/>
                <w:szCs w:val="24"/>
                <w14:ligatures w14:val="standardContextual"/>
                <w14:numForm w14:val="oldStyle"/>
              </w:rPr>
              <w:t xml:space="preserve"> with plans and ideas, as are teachers on the AP English Lit Facebook group.</w:t>
            </w:r>
          </w:p>
        </w:tc>
      </w:tr>
    </w:tbl>
    <w:p w14:paraId="4915DBBB" w14:textId="14F47724" w:rsidR="00F65C78" w:rsidRPr="005E3AC9" w:rsidRDefault="00D16ED6" w:rsidP="008B6E1D">
      <w:pPr>
        <w:pStyle w:val="Heading1"/>
        <w:spacing w:before="240" w:after="240"/>
        <w:rPr>
          <w:i/>
          <w:iCs/>
          <w:color w:val="6E2639"/>
          <w14:ligatures w14:val="standardContextual"/>
          <w14:numForm w14:val="oldStyle"/>
        </w:rPr>
      </w:pPr>
      <w:r w:rsidRPr="005E3AC9">
        <w:rPr>
          <w:i/>
          <w:iCs/>
          <w:color w:val="6E2639"/>
          <w14:ligatures w14:val="standardContextual"/>
          <w14:numForm w14:val="oldStyle"/>
        </w:rPr>
        <w:t xml:space="preserve">Some Sources for Instructional Activity Ideas </w:t>
      </w:r>
      <w:r w:rsidRPr="005E3AC9">
        <w:rPr>
          <w:i/>
          <w:iCs/>
          <w:color w:val="6E2639"/>
          <w:sz w:val="24"/>
          <w:szCs w:val="24"/>
          <w14:ligatures w14:val="standardContextual"/>
          <w14:numForm w14:val="oldStyle"/>
        </w:rPr>
        <w:t>(a starter list)</w:t>
      </w:r>
    </w:p>
    <w:tbl>
      <w:tblPr>
        <w:tblStyle w:val="TableGrid"/>
        <w:tblW w:w="9360"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3600"/>
        <w:gridCol w:w="5760"/>
      </w:tblGrid>
      <w:tr w:rsidR="00D16ED6" w:rsidRPr="005E3AC9" w14:paraId="598A6044" w14:textId="77777777" w:rsidTr="00DC6A56">
        <w:tc>
          <w:tcPr>
            <w:tcW w:w="3600" w:type="dxa"/>
          </w:tcPr>
          <w:p w14:paraId="223F6EBC" w14:textId="23681347" w:rsidR="00D16ED6" w:rsidRPr="005E3AC9" w:rsidRDefault="00D16ED6" w:rsidP="00DC6A56">
            <w:pPr>
              <w:jc w:val="right"/>
              <w:rPr>
                <w:rFonts w:ascii="Cambria" w:hAnsi="Cambria"/>
                <w:i/>
                <w:iCs/>
                <w:sz w:val="24"/>
                <w:szCs w:val="24"/>
                <w14:ligatures w14:val="standardContextual"/>
                <w14:numForm w14:val="oldStyle"/>
              </w:rPr>
            </w:pPr>
            <w:r w:rsidRPr="005E3AC9">
              <w:rPr>
                <w:rFonts w:ascii="Cambria" w:hAnsi="Cambria"/>
                <w:i/>
                <w:iCs/>
                <w:sz w:val="24"/>
                <w:szCs w:val="24"/>
                <w14:ligatures w14:val="standardContextual"/>
                <w14:numForm w14:val="oldStyle"/>
              </w:rPr>
              <w:t>Professional Organizations</w:t>
            </w:r>
          </w:p>
        </w:tc>
        <w:tc>
          <w:tcPr>
            <w:tcW w:w="5760" w:type="dxa"/>
          </w:tcPr>
          <w:p w14:paraId="7687F9E3" w14:textId="32D884FB" w:rsidR="00D16ED6" w:rsidRPr="005E3AC9" w:rsidRDefault="00D16ED6">
            <w:pPr>
              <w:rPr>
                <w14:ligatures w14:val="standardContextual"/>
                <w14:numForm w14:val="oldStyle"/>
              </w:rPr>
            </w:pPr>
            <w:r w:rsidRPr="005E3AC9">
              <w:rPr>
                <w14:ligatures w14:val="standardContextual"/>
                <w14:numForm w14:val="oldStyle"/>
              </w:rPr>
              <w:t xml:space="preserve">National Council of Teachers of </w:t>
            </w:r>
            <w:r w:rsidR="00E802DB" w:rsidRPr="005E3AC9">
              <w:rPr>
                <w14:ligatures w14:val="standardContextual"/>
                <w14:numForm w14:val="oldStyle"/>
              </w:rPr>
              <w:t>English</w:t>
            </w:r>
            <w:r w:rsidRPr="005E3AC9">
              <w:rPr>
                <w14:ligatures w14:val="standardContextual"/>
                <w14:numForm w14:val="oldStyle"/>
              </w:rPr>
              <w:t xml:space="preserve"> </w:t>
            </w:r>
            <w:r w:rsidR="00522824" w:rsidRPr="005E3AC9">
              <w:rPr>
                <w14:ligatures w14:val="standardContextual"/>
                <w14:numForm w14:val="oldStyle"/>
              </w:rPr>
              <w:t xml:space="preserve"> · </w:t>
            </w:r>
            <w:r w:rsidR="00E802DB" w:rsidRPr="005E3AC9">
              <w:rPr>
                <w14:ligatures w14:val="standardContextual"/>
                <w14:numForm w14:val="oldStyle"/>
              </w:rPr>
              <w:t xml:space="preserve">Edutopia </w:t>
            </w:r>
            <w:r w:rsidR="00E802DB" w:rsidRPr="005E3AC9">
              <w:rPr>
                <w14:ligatures w14:val="standardContextual"/>
                <w14:numForm w14:val="oldStyle"/>
              </w:rPr>
              <w:br/>
            </w:r>
            <w:r w:rsidRPr="005E3AC9">
              <w:rPr>
                <w14:ligatures w14:val="standardContextual"/>
                <w14:numForm w14:val="oldStyle"/>
              </w:rPr>
              <w:t xml:space="preserve">International Literacy Association </w:t>
            </w:r>
            <w:r w:rsidR="00522824" w:rsidRPr="005E3AC9">
              <w:rPr>
                <w14:ligatures w14:val="standardContextual"/>
                <w14:numForm w14:val="oldStyle"/>
              </w:rPr>
              <w:t xml:space="preserve"> · </w:t>
            </w:r>
            <w:r w:rsidRPr="005E3AC9">
              <w:rPr>
                <w14:ligatures w14:val="standardContextual"/>
                <w14:numForm w14:val="oldStyle"/>
              </w:rPr>
              <w:t>Teaching Tolerance</w:t>
            </w:r>
            <w:r w:rsidR="00E802DB" w:rsidRPr="005E3AC9">
              <w:rPr>
                <w14:ligatures w14:val="standardContextual"/>
                <w14:numForm w14:val="oldStyle"/>
              </w:rPr>
              <w:br/>
            </w:r>
            <w:r w:rsidRPr="005E3AC9">
              <w:rPr>
                <w14:ligatures w14:val="standardContextual"/>
                <w14:numForm w14:val="oldStyle"/>
              </w:rPr>
              <w:t>American Library Association</w:t>
            </w:r>
          </w:p>
        </w:tc>
      </w:tr>
      <w:tr w:rsidR="00D16ED6" w:rsidRPr="005E3AC9" w14:paraId="32D1FF34" w14:textId="77777777" w:rsidTr="00DC6A56">
        <w:tc>
          <w:tcPr>
            <w:tcW w:w="3600" w:type="dxa"/>
          </w:tcPr>
          <w:p w14:paraId="2C9BF2A3" w14:textId="0617E2D3" w:rsidR="00D16ED6" w:rsidRPr="005E3AC9" w:rsidRDefault="00D16ED6" w:rsidP="00DC6A56">
            <w:pPr>
              <w:jc w:val="right"/>
              <w:rPr>
                <w:rFonts w:ascii="Cambria" w:hAnsi="Cambria"/>
                <w:i/>
                <w:iCs/>
                <w:sz w:val="24"/>
                <w:szCs w:val="24"/>
                <w14:ligatures w14:val="standardContextual"/>
                <w14:numForm w14:val="oldStyle"/>
              </w:rPr>
            </w:pPr>
            <w:r w:rsidRPr="005E3AC9">
              <w:rPr>
                <w:rFonts w:ascii="Cambria" w:hAnsi="Cambria"/>
                <w:i/>
                <w:iCs/>
                <w:sz w:val="24"/>
                <w:szCs w:val="24"/>
                <w14:ligatures w14:val="standardContextual"/>
                <w14:numForm w14:val="oldStyle"/>
              </w:rPr>
              <w:t>Libraries</w:t>
            </w:r>
          </w:p>
        </w:tc>
        <w:tc>
          <w:tcPr>
            <w:tcW w:w="5760" w:type="dxa"/>
          </w:tcPr>
          <w:p w14:paraId="75B81A33" w14:textId="32BA192D" w:rsidR="00D16ED6" w:rsidRPr="005E3AC9" w:rsidRDefault="00D16ED6">
            <w:pPr>
              <w:rPr>
                <w14:ligatures w14:val="standardContextual"/>
                <w14:numForm w14:val="oldStyle"/>
              </w:rPr>
            </w:pPr>
            <w:r w:rsidRPr="005E3AC9">
              <w:rPr>
                <w14:ligatures w14:val="standardContextual"/>
                <w14:numForm w14:val="oldStyle"/>
              </w:rPr>
              <w:t xml:space="preserve">The Library of Congress </w:t>
            </w:r>
            <w:r w:rsidR="00522824" w:rsidRPr="005E3AC9">
              <w:rPr>
                <w14:ligatures w14:val="standardContextual"/>
                <w14:numForm w14:val="oldStyle"/>
              </w:rPr>
              <w:t xml:space="preserve"> · </w:t>
            </w:r>
            <w:r w:rsidRPr="005E3AC9">
              <w:rPr>
                <w14:ligatures w14:val="standardContextual"/>
                <w14:numForm w14:val="oldStyle"/>
              </w:rPr>
              <w:t>Folger Shakespeare Library</w:t>
            </w:r>
            <w:r w:rsidR="00E802DB" w:rsidRPr="005E3AC9">
              <w:rPr>
                <w14:ligatures w14:val="standardContextual"/>
                <w14:numForm w14:val="oldStyle"/>
              </w:rPr>
              <w:br/>
            </w:r>
            <w:r w:rsidRPr="005E3AC9">
              <w:rPr>
                <w14:ligatures w14:val="standardContextual"/>
                <w14:numForm w14:val="oldStyle"/>
              </w:rPr>
              <w:t>the British Library</w:t>
            </w:r>
          </w:p>
        </w:tc>
      </w:tr>
      <w:tr w:rsidR="00D16ED6" w:rsidRPr="005E3AC9" w14:paraId="35C55448" w14:textId="77777777" w:rsidTr="00DC6A56">
        <w:tc>
          <w:tcPr>
            <w:tcW w:w="3600" w:type="dxa"/>
          </w:tcPr>
          <w:p w14:paraId="5DC01192" w14:textId="3A2FFA15" w:rsidR="00D16ED6" w:rsidRPr="005E3AC9" w:rsidRDefault="00D16ED6" w:rsidP="00DC6A56">
            <w:pPr>
              <w:jc w:val="right"/>
              <w:rPr>
                <w:rFonts w:ascii="Cambria" w:hAnsi="Cambria"/>
                <w:i/>
                <w:iCs/>
                <w:sz w:val="24"/>
                <w:szCs w:val="24"/>
                <w14:ligatures w14:val="standardContextual"/>
                <w14:numForm w14:val="oldStyle"/>
              </w:rPr>
            </w:pPr>
            <w:r w:rsidRPr="005E3AC9">
              <w:rPr>
                <w:rFonts w:ascii="Cambria" w:hAnsi="Cambria"/>
                <w:i/>
                <w:iCs/>
                <w:sz w:val="24"/>
                <w:szCs w:val="24"/>
                <w14:ligatures w14:val="standardContextual"/>
                <w14:numForm w14:val="oldStyle"/>
              </w:rPr>
              <w:t>Museums</w:t>
            </w:r>
          </w:p>
        </w:tc>
        <w:tc>
          <w:tcPr>
            <w:tcW w:w="5760" w:type="dxa"/>
          </w:tcPr>
          <w:p w14:paraId="2C6EE7F4" w14:textId="2864A326" w:rsidR="00D16ED6" w:rsidRPr="005E3AC9" w:rsidRDefault="00D16ED6">
            <w:pPr>
              <w:rPr>
                <w14:ligatures w14:val="standardContextual"/>
                <w14:numForm w14:val="oldStyle"/>
              </w:rPr>
            </w:pPr>
            <w:r w:rsidRPr="005E3AC9">
              <w:rPr>
                <w14:ligatures w14:val="standardContextual"/>
                <w14:numForm w14:val="oldStyle"/>
              </w:rPr>
              <w:t xml:space="preserve">Smithsonian Institution </w:t>
            </w:r>
            <w:proofErr w:type="gramStart"/>
            <w:r w:rsidRPr="005E3AC9">
              <w:rPr>
                <w14:ligatures w14:val="standardContextual"/>
                <w14:numForm w14:val="oldStyle"/>
              </w:rPr>
              <w:t>The</w:t>
            </w:r>
            <w:proofErr w:type="gramEnd"/>
            <w:r w:rsidRPr="005E3AC9">
              <w:rPr>
                <w14:ligatures w14:val="standardContextual"/>
                <w14:numForm w14:val="oldStyle"/>
              </w:rPr>
              <w:t xml:space="preserve"> British Museum</w:t>
            </w:r>
          </w:p>
        </w:tc>
      </w:tr>
    </w:tbl>
    <w:p w14:paraId="15221A19" w14:textId="77777777" w:rsidR="00D16ED6" w:rsidRPr="005E3AC9" w:rsidRDefault="00D16ED6">
      <w:pPr>
        <w:rPr>
          <w14:ligatures w14:val="standardContextual"/>
          <w14:numForm w14:val="oldStyle"/>
        </w:rPr>
      </w:pPr>
    </w:p>
    <w:sectPr w:rsidR="00D16ED6" w:rsidRPr="005E3AC9" w:rsidSect="00DC6A56">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LT Pro">
    <w:panose1 w:val="020B0504020202020204"/>
    <w:charset w:val="00"/>
    <w:family w:val="swiss"/>
    <w:pitch w:val="variable"/>
    <w:sig w:usb0="A00002AF" w:usb1="5000204A"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30"/>
    <w:rsid w:val="00013F1C"/>
    <w:rsid w:val="000B0829"/>
    <w:rsid w:val="000B1224"/>
    <w:rsid w:val="000D5D2C"/>
    <w:rsid w:val="0012206E"/>
    <w:rsid w:val="001E5683"/>
    <w:rsid w:val="001F08B7"/>
    <w:rsid w:val="002211D7"/>
    <w:rsid w:val="00232714"/>
    <w:rsid w:val="00283855"/>
    <w:rsid w:val="002A2462"/>
    <w:rsid w:val="002A6C93"/>
    <w:rsid w:val="002B3518"/>
    <w:rsid w:val="002B36E0"/>
    <w:rsid w:val="002E778D"/>
    <w:rsid w:val="003508AC"/>
    <w:rsid w:val="00395009"/>
    <w:rsid w:val="003A6959"/>
    <w:rsid w:val="003D3C65"/>
    <w:rsid w:val="003E0CB9"/>
    <w:rsid w:val="003E36E1"/>
    <w:rsid w:val="00415F00"/>
    <w:rsid w:val="0044009B"/>
    <w:rsid w:val="0047499B"/>
    <w:rsid w:val="00485574"/>
    <w:rsid w:val="00507BAA"/>
    <w:rsid w:val="00522824"/>
    <w:rsid w:val="00564A46"/>
    <w:rsid w:val="0059073C"/>
    <w:rsid w:val="005B03A8"/>
    <w:rsid w:val="005B2261"/>
    <w:rsid w:val="005E15C1"/>
    <w:rsid w:val="005E2F44"/>
    <w:rsid w:val="005E3AC9"/>
    <w:rsid w:val="0061099B"/>
    <w:rsid w:val="00614143"/>
    <w:rsid w:val="00620187"/>
    <w:rsid w:val="0064387C"/>
    <w:rsid w:val="00652FCE"/>
    <w:rsid w:val="006908AA"/>
    <w:rsid w:val="006934E0"/>
    <w:rsid w:val="006939CC"/>
    <w:rsid w:val="006B542E"/>
    <w:rsid w:val="00775BE5"/>
    <w:rsid w:val="007A2061"/>
    <w:rsid w:val="007D2788"/>
    <w:rsid w:val="007F5CDC"/>
    <w:rsid w:val="00804520"/>
    <w:rsid w:val="00860659"/>
    <w:rsid w:val="00862769"/>
    <w:rsid w:val="00885A38"/>
    <w:rsid w:val="00892C3E"/>
    <w:rsid w:val="008B6E1D"/>
    <w:rsid w:val="008D7235"/>
    <w:rsid w:val="00926552"/>
    <w:rsid w:val="009452CA"/>
    <w:rsid w:val="00986464"/>
    <w:rsid w:val="009C53D1"/>
    <w:rsid w:val="009C5636"/>
    <w:rsid w:val="009E3637"/>
    <w:rsid w:val="009E58C4"/>
    <w:rsid w:val="009F00EB"/>
    <w:rsid w:val="00A04FD8"/>
    <w:rsid w:val="00A11036"/>
    <w:rsid w:val="00A1325F"/>
    <w:rsid w:val="00A24413"/>
    <w:rsid w:val="00A43111"/>
    <w:rsid w:val="00AC3CF0"/>
    <w:rsid w:val="00AF2736"/>
    <w:rsid w:val="00B021B5"/>
    <w:rsid w:val="00B231CD"/>
    <w:rsid w:val="00B47D7E"/>
    <w:rsid w:val="00B51BE6"/>
    <w:rsid w:val="00B648E4"/>
    <w:rsid w:val="00B670B1"/>
    <w:rsid w:val="00B841C2"/>
    <w:rsid w:val="00B84AE0"/>
    <w:rsid w:val="00BF127A"/>
    <w:rsid w:val="00C363AF"/>
    <w:rsid w:val="00C37F97"/>
    <w:rsid w:val="00C41A9F"/>
    <w:rsid w:val="00C4499C"/>
    <w:rsid w:val="00C83543"/>
    <w:rsid w:val="00CB0330"/>
    <w:rsid w:val="00CF7BED"/>
    <w:rsid w:val="00D16ED6"/>
    <w:rsid w:val="00D56019"/>
    <w:rsid w:val="00D76046"/>
    <w:rsid w:val="00D779AB"/>
    <w:rsid w:val="00DA7D5B"/>
    <w:rsid w:val="00DC6A56"/>
    <w:rsid w:val="00DE48AC"/>
    <w:rsid w:val="00DF6297"/>
    <w:rsid w:val="00DF6DFE"/>
    <w:rsid w:val="00E0310A"/>
    <w:rsid w:val="00E05963"/>
    <w:rsid w:val="00E1501A"/>
    <w:rsid w:val="00E1656D"/>
    <w:rsid w:val="00E30F9F"/>
    <w:rsid w:val="00E643E0"/>
    <w:rsid w:val="00E802DB"/>
    <w:rsid w:val="00E86860"/>
    <w:rsid w:val="00EB37C5"/>
    <w:rsid w:val="00EF66CE"/>
    <w:rsid w:val="00F1635D"/>
    <w:rsid w:val="00F378FC"/>
    <w:rsid w:val="00F65C78"/>
    <w:rsid w:val="00F7185A"/>
    <w:rsid w:val="00F71FD8"/>
    <w:rsid w:val="00F7691E"/>
    <w:rsid w:val="00FF5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50F47"/>
  <w15:chartTrackingRefBased/>
  <w15:docId w15:val="{F6FCEAEC-D539-4C1C-89B3-606BAF4B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959"/>
    <w:pPr>
      <w:spacing w:after="120" w:line="240" w:lineRule="auto"/>
    </w:pPr>
  </w:style>
  <w:style w:type="paragraph" w:styleId="Heading1">
    <w:name w:val="heading 1"/>
    <w:basedOn w:val="Normal"/>
    <w:next w:val="Normal"/>
    <w:link w:val="Heading1Char"/>
    <w:uiPriority w:val="9"/>
    <w:qFormat/>
    <w:rsid w:val="00862769"/>
    <w:pPr>
      <w:keepNext/>
      <w:keepLines/>
      <w:spacing w:before="180"/>
      <w:outlineLvl w:val="0"/>
    </w:pPr>
    <w:rPr>
      <w:rFonts w:ascii="Cambria" w:eastAsiaTheme="majorEastAsia" w:hAnsi="Cambria" w:cstheme="majorBidi"/>
      <w:color w:val="C00000"/>
      <w:sz w:val="28"/>
      <w:szCs w:val="32"/>
    </w:rPr>
  </w:style>
  <w:style w:type="paragraph" w:styleId="Heading2">
    <w:name w:val="heading 2"/>
    <w:basedOn w:val="Normal"/>
    <w:next w:val="Normal"/>
    <w:link w:val="Heading2Char"/>
    <w:uiPriority w:val="9"/>
    <w:unhideWhenUsed/>
    <w:qFormat/>
    <w:rsid w:val="006934E0"/>
    <w:pPr>
      <w:keepNext/>
      <w:keepLines/>
      <w:spacing w:before="120"/>
      <w:outlineLvl w:val="1"/>
    </w:pPr>
    <w:rPr>
      <w:rFonts w:ascii="Cambria" w:eastAsiaTheme="majorEastAsia" w:hAnsi="Cambria" w:cstheme="majorBidi"/>
      <w:i/>
      <w:color w:val="00206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36E0"/>
    <w:pPr>
      <w:keepNext/>
      <w:keepLines/>
      <w:spacing w:after="240"/>
    </w:pPr>
    <w:rPr>
      <w:rFonts w:ascii="Cambria" w:hAnsi="Cambria"/>
      <w:color w:val="800000"/>
      <w:sz w:val="32"/>
      <w:szCs w:val="40"/>
      <w:lang w:val="fr-FR"/>
    </w:rPr>
  </w:style>
  <w:style w:type="character" w:customStyle="1" w:styleId="TitleChar">
    <w:name w:val="Title Char"/>
    <w:basedOn w:val="DefaultParagraphFont"/>
    <w:link w:val="Title"/>
    <w:uiPriority w:val="10"/>
    <w:rsid w:val="002B36E0"/>
    <w:rPr>
      <w:rFonts w:ascii="Cambria" w:hAnsi="Cambria"/>
      <w:color w:val="800000"/>
      <w:sz w:val="32"/>
      <w:szCs w:val="40"/>
      <w:lang w:val="fr-FR"/>
    </w:rPr>
  </w:style>
  <w:style w:type="paragraph" w:customStyle="1" w:styleId="EndStuff">
    <w:name w:val="End Stuff"/>
    <w:basedOn w:val="Normal"/>
    <w:link w:val="EndStuffChar"/>
    <w:qFormat/>
    <w:rsid w:val="00A43111"/>
    <w:pPr>
      <w:spacing w:before="120"/>
      <w:ind w:left="360"/>
      <w:jc w:val="right"/>
    </w:pPr>
    <w:rPr>
      <w:rFonts w:ascii="Cambria" w:hAnsi="Cambria"/>
      <w:i/>
      <w:sz w:val="20"/>
      <w:szCs w:val="20"/>
    </w:rPr>
  </w:style>
  <w:style w:type="character" w:customStyle="1" w:styleId="EndStuffChar">
    <w:name w:val="End Stuff Char"/>
    <w:basedOn w:val="DefaultParagraphFont"/>
    <w:link w:val="EndStuff"/>
    <w:rsid w:val="00A43111"/>
    <w:rPr>
      <w:rFonts w:ascii="Cambria" w:hAnsi="Cambria"/>
      <w:i/>
      <w:color w:val="595959" w:themeColor="text1" w:themeTint="A6"/>
      <w:sz w:val="20"/>
      <w:szCs w:val="20"/>
    </w:rPr>
  </w:style>
  <w:style w:type="paragraph" w:customStyle="1" w:styleId="Byline">
    <w:name w:val="Byline"/>
    <w:basedOn w:val="Normal"/>
    <w:link w:val="BylineChar"/>
    <w:qFormat/>
    <w:rsid w:val="00EF66CE"/>
    <w:pPr>
      <w:spacing w:after="240"/>
    </w:pPr>
    <w:rPr>
      <w:rFonts w:ascii="Cambria" w:hAnsi="Cambria"/>
      <w:i/>
      <w:sz w:val="20"/>
    </w:rPr>
  </w:style>
  <w:style w:type="character" w:customStyle="1" w:styleId="BylineChar">
    <w:name w:val="Byline Char"/>
    <w:basedOn w:val="DefaultParagraphFont"/>
    <w:link w:val="Byline"/>
    <w:rsid w:val="00EF66CE"/>
    <w:rPr>
      <w:rFonts w:ascii="Cambria" w:hAnsi="Cambria" w:cs="Calibri"/>
      <w:i/>
      <w:sz w:val="20"/>
    </w:rPr>
  </w:style>
  <w:style w:type="paragraph" w:styleId="Subtitle">
    <w:name w:val="Subtitle"/>
    <w:basedOn w:val="Normal"/>
    <w:next w:val="Normal"/>
    <w:link w:val="SubtitleChar"/>
    <w:uiPriority w:val="11"/>
    <w:qFormat/>
    <w:rsid w:val="0044009B"/>
    <w:pPr>
      <w:numPr>
        <w:ilvl w:val="1"/>
      </w:numPr>
      <w:spacing w:after="360"/>
    </w:pPr>
    <w:rPr>
      <w:rFonts w:ascii="Cambria" w:eastAsiaTheme="minorEastAsia" w:hAnsi="Cambria"/>
      <w:i/>
      <w:color w:val="C00000"/>
      <w:sz w:val="28"/>
      <w:lang w:val="en"/>
    </w:rPr>
  </w:style>
  <w:style w:type="character" w:customStyle="1" w:styleId="SubtitleChar">
    <w:name w:val="Subtitle Char"/>
    <w:basedOn w:val="DefaultParagraphFont"/>
    <w:link w:val="Subtitle"/>
    <w:uiPriority w:val="11"/>
    <w:rsid w:val="0044009B"/>
    <w:rPr>
      <w:rFonts w:ascii="Cambria" w:eastAsiaTheme="minorEastAsia" w:hAnsi="Cambria"/>
      <w:i/>
      <w:color w:val="C00000"/>
      <w:sz w:val="28"/>
      <w:lang w:val="en"/>
    </w:rPr>
  </w:style>
  <w:style w:type="paragraph" w:customStyle="1" w:styleId="EndStuff1">
    <w:name w:val="End Stuff 1"/>
    <w:basedOn w:val="Normal"/>
    <w:link w:val="EndStuff1Char"/>
    <w:qFormat/>
    <w:rsid w:val="00C363AF"/>
    <w:pPr>
      <w:ind w:left="1440"/>
      <w:jc w:val="right"/>
    </w:pPr>
    <w:rPr>
      <w:i/>
      <w:iCs/>
      <w14:ligatures w14:val="standardContextual"/>
      <w14:numForm w14:val="oldStyle"/>
    </w:rPr>
  </w:style>
  <w:style w:type="character" w:customStyle="1" w:styleId="EndStuff1Char">
    <w:name w:val="End Stuff 1 Char"/>
    <w:basedOn w:val="DefaultParagraphFont"/>
    <w:link w:val="EndStuff1"/>
    <w:rsid w:val="00C363AF"/>
    <w:rPr>
      <w:i/>
      <w:iCs/>
      <w14:ligatures w14:val="standardContextual"/>
      <w14:numForm w14:val="oldStyle"/>
    </w:rPr>
  </w:style>
  <w:style w:type="paragraph" w:customStyle="1" w:styleId="Supertitle">
    <w:name w:val="Supertitle"/>
    <w:basedOn w:val="Normal"/>
    <w:link w:val="SupertitleChar"/>
    <w:qFormat/>
    <w:rsid w:val="00620187"/>
    <w:rPr>
      <w:rFonts w:ascii="Cambria" w:hAnsi="Cambria" w:cs="Calibri"/>
      <w:i/>
      <w:color w:val="800000"/>
      <w:u w:val="single"/>
    </w:rPr>
  </w:style>
  <w:style w:type="character" w:customStyle="1" w:styleId="SupertitleChar">
    <w:name w:val="Supertitle Char"/>
    <w:basedOn w:val="DefaultParagraphFont"/>
    <w:link w:val="Supertitle"/>
    <w:rsid w:val="00620187"/>
    <w:rPr>
      <w:rFonts w:ascii="Cambria" w:hAnsi="Cambria" w:cs="Calibri"/>
      <w:i/>
      <w:color w:val="800000"/>
      <w:sz w:val="24"/>
      <w:u w:val="single"/>
    </w:rPr>
  </w:style>
  <w:style w:type="character" w:customStyle="1" w:styleId="Heading1Char">
    <w:name w:val="Heading 1 Char"/>
    <w:basedOn w:val="DefaultParagraphFont"/>
    <w:link w:val="Heading1"/>
    <w:uiPriority w:val="9"/>
    <w:rsid w:val="00862769"/>
    <w:rPr>
      <w:rFonts w:ascii="Cambria" w:eastAsiaTheme="majorEastAsia" w:hAnsi="Cambria" w:cstheme="majorBidi"/>
      <w:color w:val="C00000"/>
      <w:sz w:val="28"/>
      <w:szCs w:val="32"/>
    </w:rPr>
  </w:style>
  <w:style w:type="character" w:customStyle="1" w:styleId="Heading2Char">
    <w:name w:val="Heading 2 Char"/>
    <w:basedOn w:val="DefaultParagraphFont"/>
    <w:link w:val="Heading2"/>
    <w:uiPriority w:val="9"/>
    <w:rsid w:val="006934E0"/>
    <w:rPr>
      <w:rFonts w:ascii="Cambria" w:eastAsiaTheme="majorEastAsia" w:hAnsi="Cambria" w:cstheme="majorBidi"/>
      <w:i/>
      <w:color w:val="002060"/>
      <w:sz w:val="26"/>
      <w:szCs w:val="26"/>
    </w:rPr>
  </w:style>
  <w:style w:type="paragraph" w:styleId="Caption">
    <w:name w:val="caption"/>
    <w:basedOn w:val="Normal"/>
    <w:next w:val="Normal"/>
    <w:uiPriority w:val="35"/>
    <w:unhideWhenUsed/>
    <w:qFormat/>
    <w:rsid w:val="009C53D1"/>
    <w:pPr>
      <w:spacing w:after="200"/>
    </w:pPr>
    <w:rPr>
      <w:i/>
      <w:iCs/>
      <w:color w:val="44546A" w:themeColor="text2"/>
      <w:sz w:val="18"/>
      <w:szCs w:val="18"/>
    </w:rPr>
  </w:style>
  <w:style w:type="paragraph" w:styleId="EnvelopeAddress">
    <w:name w:val="envelope address"/>
    <w:basedOn w:val="Normal"/>
    <w:uiPriority w:val="99"/>
    <w:semiHidden/>
    <w:unhideWhenUsed/>
    <w:rsid w:val="009E3637"/>
    <w:pPr>
      <w:framePr w:w="7920" w:h="1980" w:hRule="exact" w:hSpace="180" w:wrap="auto" w:hAnchor="page" w:xAlign="center" w:yAlign="bottom"/>
      <w:spacing w:after="0"/>
      <w:ind w:left="2880"/>
    </w:pPr>
    <w:rPr>
      <w:rFonts w:eastAsiaTheme="majorEastAsia" w:cstheme="majorBidi"/>
      <w:b/>
      <w:caps/>
      <w:sz w:val="28"/>
      <w:szCs w:val="24"/>
    </w:rPr>
  </w:style>
  <w:style w:type="paragraph" w:styleId="EnvelopeReturn">
    <w:name w:val="envelope return"/>
    <w:basedOn w:val="Normal"/>
    <w:uiPriority w:val="99"/>
    <w:semiHidden/>
    <w:unhideWhenUsed/>
    <w:rsid w:val="009E3637"/>
    <w:pPr>
      <w:spacing w:after="0"/>
    </w:pPr>
    <w:rPr>
      <w:rFonts w:eastAsiaTheme="majorEastAsia" w:cstheme="majorBidi"/>
      <w:smallCaps/>
      <w:szCs w:val="20"/>
    </w:rPr>
  </w:style>
  <w:style w:type="paragraph" w:customStyle="1" w:styleId="Book-Movie">
    <w:name w:val="Book-Movie"/>
    <w:basedOn w:val="Normal"/>
    <w:link w:val="Book-MovieChar"/>
    <w:qFormat/>
    <w:rsid w:val="007A2061"/>
    <w:rPr>
      <w:rFonts w:ascii="Cambria" w:hAnsi="Cambria"/>
      <w:i/>
      <w:sz w:val="23"/>
      <w14:numForm w14:val="oldStyle"/>
    </w:rPr>
  </w:style>
  <w:style w:type="character" w:customStyle="1" w:styleId="Book-MovieChar">
    <w:name w:val="Book-Movie Char"/>
    <w:basedOn w:val="DefaultParagraphFont"/>
    <w:link w:val="Book-Movie"/>
    <w:rsid w:val="007A2061"/>
    <w:rPr>
      <w:rFonts w:ascii="Cambria" w:hAnsi="Cambria" w:cs="Calibri"/>
      <w:i/>
      <w:sz w:val="23"/>
      <w14:numForm w14:val="oldStyle"/>
    </w:rPr>
  </w:style>
  <w:style w:type="character" w:styleId="PageNumber">
    <w:name w:val="page number"/>
    <w:basedOn w:val="DefaultParagraphFont"/>
    <w:uiPriority w:val="99"/>
    <w:unhideWhenUsed/>
    <w:rsid w:val="005B2261"/>
    <w:rPr>
      <w:sz w:val="20"/>
    </w:rPr>
  </w:style>
  <w:style w:type="table" w:styleId="TableGrid">
    <w:name w:val="Table Grid"/>
    <w:basedOn w:val="TableNormal"/>
    <w:uiPriority w:val="39"/>
    <w:rsid w:val="00F6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 Nicholson</dc:creator>
  <cp:keywords/>
  <dc:description/>
  <cp:lastModifiedBy>Skip Nicholson</cp:lastModifiedBy>
  <cp:revision>11</cp:revision>
  <cp:lastPrinted>2020-06-24T04:30:00Z</cp:lastPrinted>
  <dcterms:created xsi:type="dcterms:W3CDTF">2020-06-24T04:12:00Z</dcterms:created>
  <dcterms:modified xsi:type="dcterms:W3CDTF">2020-06-24T05:49:00Z</dcterms:modified>
</cp:coreProperties>
</file>